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F2FA7" w14:textId="4067359B" w:rsidR="006F3832" w:rsidRPr="00FC7AB0" w:rsidRDefault="00000000" w:rsidP="002A4D01">
      <w:pPr>
        <w:spacing w:after="0" w:line="259" w:lineRule="auto"/>
        <w:ind w:left="1" w:right="0" w:firstLine="0"/>
      </w:pPr>
      <w:r w:rsidRPr="00FC7AB0">
        <w:rPr>
          <w:sz w:val="22"/>
        </w:rPr>
        <w:t xml:space="preserve">El calendario de actuaciones de la Comisión de Calidad del MUI en Ciencias por la Universidad de Extremadura, referente a los TFM </w:t>
      </w:r>
      <w:r w:rsidR="00022F66" w:rsidRPr="00FC7AB0">
        <w:rPr>
          <w:sz w:val="22"/>
        </w:rPr>
        <w:t>para el curso 2</w:t>
      </w:r>
      <w:r w:rsidR="00EF3139" w:rsidRPr="00FC7AB0">
        <w:rPr>
          <w:sz w:val="22"/>
        </w:rPr>
        <w:t>5</w:t>
      </w:r>
      <w:r w:rsidR="00022F66" w:rsidRPr="00FC7AB0">
        <w:rPr>
          <w:sz w:val="22"/>
        </w:rPr>
        <w:t>/2</w:t>
      </w:r>
      <w:r w:rsidR="00EF3139" w:rsidRPr="00FC7AB0">
        <w:rPr>
          <w:sz w:val="22"/>
        </w:rPr>
        <w:t>5</w:t>
      </w:r>
      <w:r w:rsidR="00022F66" w:rsidRPr="00FC7AB0">
        <w:rPr>
          <w:sz w:val="22"/>
        </w:rPr>
        <w:t xml:space="preserve"> se establece </w:t>
      </w:r>
      <w:r w:rsidR="00637B45" w:rsidRPr="00FC7AB0">
        <w:rPr>
          <w:sz w:val="22"/>
        </w:rPr>
        <w:t>de acuerdo con</w:t>
      </w:r>
      <w:r w:rsidR="00022F66" w:rsidRPr="00FC7AB0">
        <w:rPr>
          <w:sz w:val="22"/>
        </w:rPr>
        <w:t xml:space="preserve"> los siguientes criterios:</w:t>
      </w:r>
    </w:p>
    <w:p w14:paraId="377F2601" w14:textId="6153CED0" w:rsidR="006F3832" w:rsidRPr="00FC7AB0" w:rsidRDefault="00000000" w:rsidP="00022F66">
      <w:pPr>
        <w:spacing w:after="31" w:line="259" w:lineRule="auto"/>
        <w:ind w:left="2300" w:right="0" w:firstLine="0"/>
        <w:jc w:val="left"/>
      </w:pPr>
      <w:r w:rsidRPr="00FC7AB0">
        <w:t xml:space="preserve">   </w:t>
      </w:r>
    </w:p>
    <w:p w14:paraId="23E1CF41" w14:textId="77777777" w:rsidR="006F3832" w:rsidRPr="00FC7AB0" w:rsidRDefault="00000000">
      <w:pPr>
        <w:numPr>
          <w:ilvl w:val="0"/>
          <w:numId w:val="1"/>
        </w:numPr>
        <w:ind w:right="82"/>
        <w:rPr>
          <w:sz w:val="22"/>
          <w:szCs w:val="22"/>
        </w:rPr>
      </w:pPr>
      <w:r w:rsidRPr="00FC7AB0">
        <w:rPr>
          <w:sz w:val="22"/>
          <w:szCs w:val="22"/>
        </w:rPr>
        <w:t xml:space="preserve">El Trabajo de Fin de Máster, TFM, consiste en la elaboración y defensa pública de un trabajo de investigación en alguna de las especialidades del Máster Universitario de Investigación en Ciencias (MUI en Ciencias). Tiene una extensión de 12 créditos, por lo que debe suponer para el estudiante un trabajo global (presencial y no presencial) de 300 horas. </w:t>
      </w:r>
    </w:p>
    <w:p w14:paraId="7090ED7C" w14:textId="788AA659" w:rsidR="006F3832" w:rsidRPr="00FC7AB0" w:rsidRDefault="00000000" w:rsidP="00637B45">
      <w:pPr>
        <w:numPr>
          <w:ilvl w:val="0"/>
          <w:numId w:val="1"/>
        </w:numPr>
        <w:ind w:right="82"/>
        <w:rPr>
          <w:sz w:val="22"/>
          <w:szCs w:val="22"/>
        </w:rPr>
      </w:pPr>
      <w:r w:rsidRPr="00FC7AB0">
        <w:rPr>
          <w:sz w:val="22"/>
          <w:szCs w:val="22"/>
        </w:rPr>
        <w:t xml:space="preserve">Los TFM tendrán como máximo dos directores. Podrán ser directores miembros del profesorado de la UEX (PDI y doctores que tengan concedida, en cada momento, la venia </w:t>
      </w:r>
      <w:proofErr w:type="spellStart"/>
      <w:r w:rsidRPr="00FC7AB0">
        <w:rPr>
          <w:sz w:val="22"/>
          <w:szCs w:val="22"/>
        </w:rPr>
        <w:t>docenti</w:t>
      </w:r>
      <w:proofErr w:type="spellEnd"/>
      <w:r w:rsidRPr="00FC7AB0">
        <w:rPr>
          <w:sz w:val="22"/>
          <w:szCs w:val="22"/>
        </w:rPr>
        <w:t xml:space="preserve"> por el Rector/a de la UEX) y profesionales externos en posesión del título de doctor. Al menos uno de los directores será profesor de la UEX</w:t>
      </w:r>
      <w:r w:rsidR="00022F66" w:rsidRPr="00FC7AB0">
        <w:rPr>
          <w:sz w:val="22"/>
          <w:szCs w:val="22"/>
        </w:rPr>
        <w:t>.</w:t>
      </w:r>
      <w:r w:rsidR="00EE1717" w:rsidRPr="00FC7AB0">
        <w:rPr>
          <w:sz w:val="22"/>
          <w:szCs w:val="22"/>
        </w:rPr>
        <w:t xml:space="preserve"> </w:t>
      </w:r>
      <w:r w:rsidR="00F4763A" w:rsidRPr="00FC7AB0">
        <w:rPr>
          <w:sz w:val="22"/>
          <w:szCs w:val="22"/>
        </w:rPr>
        <w:t>Es recomendabl</w:t>
      </w:r>
      <w:r w:rsidR="00F4763A" w:rsidRPr="00FC7AB0">
        <w:rPr>
          <w:color w:val="auto"/>
          <w:sz w:val="22"/>
          <w:szCs w:val="22"/>
        </w:rPr>
        <w:t>e que l</w:t>
      </w:r>
      <w:r w:rsidR="00EE1717" w:rsidRPr="00FC7AB0">
        <w:rPr>
          <w:sz w:val="22"/>
          <w:szCs w:val="22"/>
        </w:rPr>
        <w:t>os directores miembros del profesorado de la UEX se</w:t>
      </w:r>
      <w:r w:rsidR="00F4763A" w:rsidRPr="00FC7AB0">
        <w:rPr>
          <w:sz w:val="22"/>
          <w:szCs w:val="22"/>
        </w:rPr>
        <w:t>a</w:t>
      </w:r>
      <w:r w:rsidR="00EE1717" w:rsidRPr="00FC7AB0">
        <w:rPr>
          <w:sz w:val="22"/>
          <w:szCs w:val="22"/>
        </w:rPr>
        <w:t xml:space="preserve">n además </w:t>
      </w:r>
      <w:r w:rsidR="00F4763A" w:rsidRPr="00FC7AB0">
        <w:rPr>
          <w:sz w:val="22"/>
          <w:szCs w:val="22"/>
        </w:rPr>
        <w:t xml:space="preserve">los </w:t>
      </w:r>
      <w:r w:rsidR="00EE1717" w:rsidRPr="00FC7AB0">
        <w:rPr>
          <w:sz w:val="22"/>
          <w:szCs w:val="22"/>
        </w:rPr>
        <w:t>encargados de la tutorización de los alumnos durante la asignatura “Laboratorio de Investigación” del MUI en Ciencias.</w:t>
      </w:r>
    </w:p>
    <w:p w14:paraId="14422CD1" w14:textId="21A22CE3" w:rsidR="00EE1717" w:rsidRPr="00FC7AB0" w:rsidRDefault="00000000" w:rsidP="00EE1717">
      <w:pPr>
        <w:numPr>
          <w:ilvl w:val="0"/>
          <w:numId w:val="1"/>
        </w:numPr>
        <w:ind w:right="82"/>
        <w:rPr>
          <w:sz w:val="22"/>
          <w:szCs w:val="22"/>
        </w:rPr>
      </w:pPr>
      <w:r w:rsidRPr="00FC7AB0">
        <w:rPr>
          <w:sz w:val="22"/>
          <w:szCs w:val="22"/>
        </w:rPr>
        <w:t>A</w:t>
      </w:r>
      <w:r w:rsidR="00022F66" w:rsidRPr="00FC7AB0">
        <w:rPr>
          <w:sz w:val="22"/>
          <w:szCs w:val="22"/>
        </w:rPr>
        <w:t>ntes del día 1</w:t>
      </w:r>
      <w:r w:rsidR="00943EE3" w:rsidRPr="00FC7AB0">
        <w:rPr>
          <w:sz w:val="22"/>
          <w:szCs w:val="22"/>
        </w:rPr>
        <w:t>5</w:t>
      </w:r>
      <w:r w:rsidR="00022F66" w:rsidRPr="00FC7AB0">
        <w:rPr>
          <w:sz w:val="22"/>
          <w:szCs w:val="22"/>
        </w:rPr>
        <w:t xml:space="preserve"> de </w:t>
      </w:r>
      <w:r w:rsidR="00943EE3" w:rsidRPr="00FC7AB0">
        <w:rPr>
          <w:sz w:val="22"/>
          <w:szCs w:val="22"/>
        </w:rPr>
        <w:t>noviembre</w:t>
      </w:r>
      <w:r w:rsidR="00022F66" w:rsidRPr="00FC7AB0">
        <w:rPr>
          <w:sz w:val="22"/>
          <w:szCs w:val="22"/>
        </w:rPr>
        <w:t xml:space="preserve">, </w:t>
      </w:r>
      <w:r w:rsidR="00EE1717" w:rsidRPr="00FC7AB0">
        <w:rPr>
          <w:sz w:val="22"/>
          <w:szCs w:val="22"/>
        </w:rPr>
        <w:t xml:space="preserve">los alumnos matriculados en el MUI en Ciencias pueden remitir a </w:t>
      </w:r>
      <w:r w:rsidR="00022F66" w:rsidRPr="00FC7AB0">
        <w:rPr>
          <w:sz w:val="22"/>
          <w:szCs w:val="22"/>
        </w:rPr>
        <w:t xml:space="preserve">la Comisión de Calidad del MUI en Ciencias (CCMUI) </w:t>
      </w:r>
      <w:r w:rsidR="00EE1717" w:rsidRPr="00FC7AB0">
        <w:rPr>
          <w:sz w:val="22"/>
          <w:szCs w:val="22"/>
        </w:rPr>
        <w:t xml:space="preserve">una propuesta de TFM acordada con los directores de éste en el formato del Anexo I. </w:t>
      </w:r>
    </w:p>
    <w:p w14:paraId="2DF1EEF4" w14:textId="141E94FB" w:rsidR="00EE1717" w:rsidRPr="00FC7AB0" w:rsidRDefault="00EE1717" w:rsidP="00EE1717">
      <w:pPr>
        <w:numPr>
          <w:ilvl w:val="0"/>
          <w:numId w:val="1"/>
        </w:numPr>
        <w:ind w:right="82"/>
        <w:rPr>
          <w:color w:val="auto"/>
          <w:sz w:val="22"/>
          <w:szCs w:val="22"/>
        </w:rPr>
      </w:pPr>
      <w:r w:rsidRPr="00FC7AB0">
        <w:rPr>
          <w:sz w:val="22"/>
          <w:szCs w:val="22"/>
        </w:rPr>
        <w:t xml:space="preserve">Escuchados a los alumnos matriculados, los Departamentos a los que se adscriben las Áreas de interés enviarán antes del 1 de diciembre por e-mail a Secretaría </w:t>
      </w:r>
      <w:r w:rsidR="00F4763A" w:rsidRPr="00FC7AB0">
        <w:rPr>
          <w:color w:val="auto"/>
          <w:sz w:val="22"/>
          <w:szCs w:val="22"/>
        </w:rPr>
        <w:t>(secretaria_cien@unex.es) la aprobación de las propuestas realizadas por el alumnado (</w:t>
      </w:r>
      <w:proofErr w:type="gramStart"/>
      <w:r w:rsidR="00F4763A" w:rsidRPr="00FC7AB0">
        <w:rPr>
          <w:color w:val="auto"/>
          <w:sz w:val="22"/>
          <w:szCs w:val="22"/>
        </w:rPr>
        <w:t>de acuerdo al</w:t>
      </w:r>
      <w:proofErr w:type="gramEnd"/>
      <w:r w:rsidR="00F4763A" w:rsidRPr="00FC7AB0">
        <w:rPr>
          <w:color w:val="auto"/>
          <w:sz w:val="22"/>
          <w:szCs w:val="22"/>
        </w:rPr>
        <w:t xml:space="preserve"> anexo I) y su oferta de TFM sin asignar al alumnado en el formato del anexo II.</w:t>
      </w:r>
    </w:p>
    <w:p w14:paraId="0AD94804" w14:textId="0D4B90F9" w:rsidR="006F3832" w:rsidRPr="00FC7AB0" w:rsidRDefault="00EE1717" w:rsidP="00637B45">
      <w:pPr>
        <w:numPr>
          <w:ilvl w:val="0"/>
          <w:numId w:val="1"/>
        </w:numPr>
        <w:ind w:right="82"/>
        <w:rPr>
          <w:sz w:val="22"/>
          <w:szCs w:val="22"/>
        </w:rPr>
      </w:pPr>
      <w:r w:rsidRPr="00FC7AB0">
        <w:rPr>
          <w:sz w:val="22"/>
          <w:szCs w:val="22"/>
        </w:rPr>
        <w:t>Para aquellos alumnos que no hayan remitido ninguna propuesta, la Comisión de Calidad del MUI en Ciencias adoptará las medidas oportunas para garantizar que el número de trabajos ofertados sea mayor o igual que el número de estudiantes matriculados</w:t>
      </w:r>
      <w:r w:rsidR="00022F66" w:rsidRPr="00FC7AB0">
        <w:rPr>
          <w:sz w:val="22"/>
          <w:szCs w:val="22"/>
        </w:rPr>
        <w:t xml:space="preserve">. La oferta completa será transmitida a los estudiantes antes del </w:t>
      </w:r>
      <w:r w:rsidRPr="00FC7AB0">
        <w:rPr>
          <w:sz w:val="22"/>
          <w:szCs w:val="22"/>
        </w:rPr>
        <w:t>5</w:t>
      </w:r>
      <w:r w:rsidR="00022F66" w:rsidRPr="00FC7AB0">
        <w:rPr>
          <w:sz w:val="22"/>
          <w:szCs w:val="22"/>
        </w:rPr>
        <w:t xml:space="preserve"> de diciembre de 202</w:t>
      </w:r>
      <w:r w:rsidR="00377FE8" w:rsidRPr="00FC7AB0">
        <w:rPr>
          <w:sz w:val="22"/>
          <w:szCs w:val="22"/>
        </w:rPr>
        <w:t>5</w:t>
      </w:r>
      <w:r w:rsidR="00022F66" w:rsidRPr="00FC7AB0">
        <w:rPr>
          <w:sz w:val="22"/>
          <w:szCs w:val="22"/>
        </w:rPr>
        <w:t xml:space="preserve">. </w:t>
      </w:r>
      <w:r w:rsidR="00323BE5" w:rsidRPr="00FC7AB0">
        <w:rPr>
          <w:sz w:val="22"/>
          <w:szCs w:val="22"/>
        </w:rPr>
        <w:t xml:space="preserve">Antes del </w:t>
      </w:r>
      <w:r w:rsidR="00943EE3" w:rsidRPr="00FC7AB0">
        <w:rPr>
          <w:sz w:val="22"/>
          <w:szCs w:val="22"/>
        </w:rPr>
        <w:t>19</w:t>
      </w:r>
      <w:r w:rsidR="00323BE5" w:rsidRPr="00FC7AB0">
        <w:rPr>
          <w:sz w:val="22"/>
          <w:szCs w:val="22"/>
        </w:rPr>
        <w:t xml:space="preserve"> de </w:t>
      </w:r>
      <w:r w:rsidRPr="00FC7AB0">
        <w:rPr>
          <w:sz w:val="22"/>
          <w:szCs w:val="22"/>
        </w:rPr>
        <w:t>diciembre</w:t>
      </w:r>
      <w:r w:rsidR="00323BE5" w:rsidRPr="00FC7AB0">
        <w:rPr>
          <w:sz w:val="22"/>
          <w:szCs w:val="22"/>
        </w:rPr>
        <w:t xml:space="preserve"> de 2025 los estudiantes matriculados en el MUI en Ciencias, </w:t>
      </w:r>
      <w:r w:rsidRPr="00FC7AB0">
        <w:rPr>
          <w:sz w:val="22"/>
          <w:szCs w:val="22"/>
        </w:rPr>
        <w:t xml:space="preserve">que no hayan remitido previamente el Anexo I </w:t>
      </w:r>
      <w:r w:rsidR="00323BE5" w:rsidRPr="00FC7AB0">
        <w:rPr>
          <w:sz w:val="22"/>
          <w:szCs w:val="22"/>
        </w:rPr>
        <w:t xml:space="preserve">enviarán por e-mail a Secretaría (secretaria_cien@unex.es) una solicitud priorizada de asignación de un máximo de 3 TFM, siguiendo el modelo del Anexo </w:t>
      </w:r>
      <w:r w:rsidRPr="00FC7AB0">
        <w:rPr>
          <w:sz w:val="22"/>
          <w:szCs w:val="22"/>
        </w:rPr>
        <w:t>I</w:t>
      </w:r>
      <w:r w:rsidR="00323BE5" w:rsidRPr="00FC7AB0">
        <w:rPr>
          <w:sz w:val="22"/>
          <w:szCs w:val="22"/>
        </w:rPr>
        <w:t xml:space="preserve">II. </w:t>
      </w:r>
    </w:p>
    <w:p w14:paraId="78D0D91F" w14:textId="50A679C0" w:rsidR="00323BE5" w:rsidRPr="00FC7AB0" w:rsidRDefault="00323BE5" w:rsidP="00637B45">
      <w:pPr>
        <w:numPr>
          <w:ilvl w:val="0"/>
          <w:numId w:val="1"/>
        </w:numPr>
        <w:ind w:right="82"/>
        <w:rPr>
          <w:sz w:val="22"/>
          <w:szCs w:val="22"/>
        </w:rPr>
      </w:pPr>
      <w:r w:rsidRPr="00FC7AB0">
        <w:rPr>
          <w:sz w:val="22"/>
          <w:szCs w:val="22"/>
        </w:rPr>
        <w:t>Si es necesario hacer una priorización de posibles solicitantes, antes del 15 de enero, la CCMUI enviará dichas solicitudes a los Departamentos implicados, los cuales deberán remitir, antes del 22 de enero a la CCMUI un informe por cada TFM ofertado en el que se priorizarán los posibles solicitantes</w:t>
      </w:r>
    </w:p>
    <w:p w14:paraId="7CF12F24" w14:textId="7FCFDB54" w:rsidR="006F3832" w:rsidRPr="00FC7AB0" w:rsidRDefault="00000000" w:rsidP="00637B45">
      <w:pPr>
        <w:numPr>
          <w:ilvl w:val="0"/>
          <w:numId w:val="1"/>
        </w:numPr>
        <w:ind w:right="82"/>
        <w:rPr>
          <w:sz w:val="22"/>
          <w:szCs w:val="22"/>
        </w:rPr>
      </w:pPr>
      <w:r w:rsidRPr="00FC7AB0">
        <w:rPr>
          <w:sz w:val="22"/>
          <w:szCs w:val="22"/>
        </w:rPr>
        <w:t>La CCMUI, a la vista de las solicitudes, informes recibidos e información complementaria que decida recabar, procederá a la asignación definitiva de los TFM a los estudiantes. Dicha asignación será publicada en la página web de la Facultad de Ciencias</w:t>
      </w:r>
      <w:r w:rsidR="00323BE5" w:rsidRPr="00FC7AB0">
        <w:rPr>
          <w:sz w:val="22"/>
          <w:szCs w:val="22"/>
        </w:rPr>
        <w:t xml:space="preserve"> antes del 2</w:t>
      </w:r>
      <w:r w:rsidR="002D0D9A" w:rsidRPr="00FC7AB0">
        <w:rPr>
          <w:sz w:val="22"/>
          <w:szCs w:val="22"/>
        </w:rPr>
        <w:t>8</w:t>
      </w:r>
      <w:r w:rsidR="00323BE5" w:rsidRPr="00FC7AB0">
        <w:rPr>
          <w:sz w:val="22"/>
          <w:szCs w:val="22"/>
        </w:rPr>
        <w:t xml:space="preserve"> de enero</w:t>
      </w:r>
      <w:r w:rsidRPr="00FC7AB0">
        <w:rPr>
          <w:sz w:val="22"/>
          <w:szCs w:val="22"/>
        </w:rPr>
        <w:t xml:space="preserve">. </w:t>
      </w:r>
    </w:p>
    <w:p w14:paraId="4BAA71E9" w14:textId="77777777" w:rsidR="006F3832" w:rsidRPr="00FC7AB0" w:rsidRDefault="00000000" w:rsidP="00637B45">
      <w:pPr>
        <w:numPr>
          <w:ilvl w:val="0"/>
          <w:numId w:val="1"/>
        </w:numPr>
        <w:ind w:right="82"/>
        <w:rPr>
          <w:sz w:val="22"/>
          <w:szCs w:val="22"/>
        </w:rPr>
      </w:pPr>
      <w:r w:rsidRPr="00FC7AB0">
        <w:rPr>
          <w:sz w:val="22"/>
          <w:szCs w:val="22"/>
        </w:rPr>
        <w:t xml:space="preserve">Si al comienzo del segundo semestre, por ampliación de matrícula de algún estudiante, se necesitasen TFM adicionales, se faculta a la CCMUI para que adopte las medidas que estime oportunas para conseguir que todos los estudiantes matriculados tengan un TFM asignado durante el primer mes del segundo semestre. </w:t>
      </w:r>
    </w:p>
    <w:p w14:paraId="21D6BC71" w14:textId="25796BC1" w:rsidR="006F3832" w:rsidRPr="00FC7AB0" w:rsidRDefault="00000000" w:rsidP="00637B45">
      <w:pPr>
        <w:numPr>
          <w:ilvl w:val="0"/>
          <w:numId w:val="1"/>
        </w:numPr>
        <w:ind w:right="82"/>
        <w:rPr>
          <w:sz w:val="22"/>
          <w:szCs w:val="22"/>
        </w:rPr>
      </w:pPr>
      <w:r w:rsidRPr="00FC7AB0">
        <w:rPr>
          <w:sz w:val="22"/>
          <w:szCs w:val="22"/>
        </w:rPr>
        <w:lastRenderedPageBreak/>
        <w:t xml:space="preserve">Cada TFM deberá concluir con la elaboración de un documento escrito cuyas normas de estilo, extensión y estructura están incluidas en los planes docentes de los TFM. </w:t>
      </w:r>
    </w:p>
    <w:p w14:paraId="4608078D" w14:textId="3C9F86A9" w:rsidR="006F3832" w:rsidRPr="00FC7AB0" w:rsidRDefault="00000000" w:rsidP="00637B45">
      <w:pPr>
        <w:numPr>
          <w:ilvl w:val="0"/>
          <w:numId w:val="1"/>
        </w:numPr>
        <w:ind w:right="82"/>
        <w:rPr>
          <w:sz w:val="22"/>
          <w:szCs w:val="22"/>
        </w:rPr>
      </w:pPr>
      <w:r w:rsidRPr="00FC7AB0">
        <w:rPr>
          <w:sz w:val="22"/>
          <w:szCs w:val="22"/>
        </w:rPr>
        <w:t>El director o directores propondrán el tribunal que habrá de evaluar el TFM, según el modelo que recoge el Anexo I</w:t>
      </w:r>
      <w:r w:rsidR="002D0D9A" w:rsidRPr="00FC7AB0">
        <w:rPr>
          <w:sz w:val="22"/>
          <w:szCs w:val="22"/>
        </w:rPr>
        <w:t>V</w:t>
      </w:r>
      <w:r w:rsidRPr="00FC7AB0">
        <w:rPr>
          <w:sz w:val="22"/>
          <w:szCs w:val="22"/>
        </w:rPr>
        <w:t xml:space="preserve">, dirigida por e-mail a la Secretaría de la Facultad (secretaria_cien@unex.es), hasta el </w:t>
      </w:r>
      <w:r w:rsidR="002D0D9A" w:rsidRPr="00FC7AB0">
        <w:rPr>
          <w:sz w:val="22"/>
          <w:szCs w:val="22"/>
        </w:rPr>
        <w:t>8</w:t>
      </w:r>
      <w:r w:rsidRPr="00FC7AB0">
        <w:rPr>
          <w:sz w:val="22"/>
          <w:szCs w:val="22"/>
        </w:rPr>
        <w:t xml:space="preserve"> de mayo para las convocatorias de junio, julio y septiembre, antes del 1 de noviembre para las convocatorias de noviembre y </w:t>
      </w:r>
      <w:r w:rsidR="00637B45" w:rsidRPr="00FC7AB0">
        <w:rPr>
          <w:sz w:val="22"/>
          <w:szCs w:val="22"/>
        </w:rPr>
        <w:t>enero</w:t>
      </w:r>
      <w:r w:rsidRPr="00FC7AB0">
        <w:rPr>
          <w:sz w:val="22"/>
          <w:szCs w:val="22"/>
        </w:rPr>
        <w:t xml:space="preserve">. </w:t>
      </w:r>
    </w:p>
    <w:p w14:paraId="3D169785" w14:textId="54F46F85" w:rsidR="006F3832" w:rsidRPr="00FC7AB0" w:rsidRDefault="00EF3139" w:rsidP="00637B45">
      <w:pPr>
        <w:numPr>
          <w:ilvl w:val="0"/>
          <w:numId w:val="1"/>
        </w:numPr>
        <w:ind w:right="82"/>
        <w:rPr>
          <w:sz w:val="22"/>
          <w:szCs w:val="22"/>
        </w:rPr>
      </w:pPr>
      <w:r w:rsidRPr="00FC7AB0">
        <w:rPr>
          <w:sz w:val="22"/>
          <w:szCs w:val="22"/>
        </w:rPr>
        <w:t xml:space="preserve">El tribunal deberá ser aprobado por la CCMUI, y posteriormente nombrado por el Sr. Decano de la Facultad de Ciencias, que comunicará, a través de la Secretaría de la Facultad de Ciencias, los oportunos nombramientos a los interesados. El tribunal estará formado </w:t>
      </w:r>
      <w:r w:rsidR="005E1C0F" w:rsidRPr="00FC7AB0">
        <w:rPr>
          <w:sz w:val="22"/>
          <w:szCs w:val="22"/>
        </w:rPr>
        <w:t>únicamente</w:t>
      </w:r>
      <w:r w:rsidRPr="00FC7AB0">
        <w:rPr>
          <w:sz w:val="22"/>
          <w:szCs w:val="22"/>
        </w:rPr>
        <w:t xml:space="preserve"> por profesorado de la UEX, pertenecientes al menos a dos áreas de conocimiento distintas, no pudiendo pertenecer al mismo ninguno de los directores del TFM. El tribunal tendrá tres miembros titulares y dos suplentes. La presidencia recaer</w:t>
      </w:r>
      <w:r w:rsidR="002D0D9A" w:rsidRPr="00FC7AB0">
        <w:rPr>
          <w:sz w:val="22"/>
          <w:szCs w:val="22"/>
        </w:rPr>
        <w:t>á</w:t>
      </w:r>
      <w:r w:rsidRPr="00FC7AB0">
        <w:rPr>
          <w:sz w:val="22"/>
          <w:szCs w:val="22"/>
        </w:rPr>
        <w:t xml:space="preserve"> en el miembro de mayor categoría docente y antigüedad y la secretaría </w:t>
      </w:r>
      <w:r w:rsidR="002A4D01" w:rsidRPr="00FC7AB0">
        <w:rPr>
          <w:sz w:val="22"/>
          <w:szCs w:val="22"/>
        </w:rPr>
        <w:t xml:space="preserve">en </w:t>
      </w:r>
      <w:r w:rsidRPr="00FC7AB0">
        <w:rPr>
          <w:sz w:val="22"/>
          <w:szCs w:val="22"/>
        </w:rPr>
        <w:t xml:space="preserve">el miembro de menor categoría docente y </w:t>
      </w:r>
      <w:r w:rsidR="00637B45" w:rsidRPr="00FC7AB0">
        <w:rPr>
          <w:sz w:val="22"/>
          <w:szCs w:val="22"/>
        </w:rPr>
        <w:t>antigüedad</w:t>
      </w:r>
      <w:r w:rsidRPr="00FC7AB0">
        <w:rPr>
          <w:sz w:val="22"/>
          <w:szCs w:val="22"/>
        </w:rPr>
        <w:t xml:space="preserve">. </w:t>
      </w:r>
    </w:p>
    <w:p w14:paraId="26BFA75A" w14:textId="663CE5AC" w:rsidR="006F3832" w:rsidRPr="00FC7AB0" w:rsidRDefault="00000000" w:rsidP="00637B45">
      <w:pPr>
        <w:numPr>
          <w:ilvl w:val="0"/>
          <w:numId w:val="1"/>
        </w:numPr>
        <w:ind w:right="82"/>
        <w:rPr>
          <w:sz w:val="22"/>
          <w:szCs w:val="22"/>
        </w:rPr>
      </w:pPr>
      <w:r w:rsidRPr="00FC7AB0">
        <w:rPr>
          <w:sz w:val="22"/>
          <w:szCs w:val="22"/>
        </w:rPr>
        <w:t>La defensa del TFM, se desarrollará, en cada convocatoria, en los plazos indicados en el punto 1</w:t>
      </w:r>
      <w:r w:rsidR="002D0D9A" w:rsidRPr="00FC7AB0">
        <w:rPr>
          <w:sz w:val="22"/>
          <w:szCs w:val="22"/>
        </w:rPr>
        <w:t>5</w:t>
      </w:r>
      <w:r w:rsidRPr="00FC7AB0">
        <w:rPr>
          <w:sz w:val="22"/>
          <w:szCs w:val="22"/>
        </w:rPr>
        <w:t xml:space="preserve"> de esta normativa. Al menos 10 días antes de la fecha de defensa, el director del TFM enviará por vía telemática a la Secretaría de la Facultad (secretaria_cien@unex.es) una copia en </w:t>
      </w:r>
      <w:proofErr w:type="spellStart"/>
      <w:r w:rsidRPr="00FC7AB0">
        <w:rPr>
          <w:sz w:val="22"/>
          <w:szCs w:val="22"/>
        </w:rPr>
        <w:t>pdf</w:t>
      </w:r>
      <w:proofErr w:type="spellEnd"/>
      <w:r w:rsidRPr="00FC7AB0">
        <w:rPr>
          <w:sz w:val="22"/>
          <w:szCs w:val="22"/>
        </w:rPr>
        <w:t xml:space="preserve"> de la Memoria del TFM (para su envío a los miembros del tribunal y para los archivos del Centro), un informe de originalidad elaborado por dicho profesorado, que deberá realizarlo mediante un programa antiplagio</w:t>
      </w:r>
      <w:r w:rsidR="002D3512" w:rsidRPr="00FC7AB0">
        <w:rPr>
          <w:sz w:val="22"/>
          <w:szCs w:val="22"/>
        </w:rPr>
        <w:t xml:space="preserve"> según el modelo recogido en el Anexo X</w:t>
      </w:r>
      <w:r w:rsidRPr="00FC7AB0">
        <w:rPr>
          <w:sz w:val="22"/>
          <w:szCs w:val="22"/>
        </w:rPr>
        <w:t>, así como la solicitud de defensa del TFM, según el modelo que recoge el Anexo V</w:t>
      </w:r>
      <w:r w:rsidR="002D3512" w:rsidRPr="00FC7AB0">
        <w:rPr>
          <w:sz w:val="22"/>
          <w:szCs w:val="22"/>
        </w:rPr>
        <w:t>.</w:t>
      </w:r>
      <w:r w:rsidRPr="00FC7AB0">
        <w:rPr>
          <w:sz w:val="22"/>
          <w:szCs w:val="22"/>
        </w:rPr>
        <w:t xml:space="preserve"> </w:t>
      </w:r>
    </w:p>
    <w:p w14:paraId="174852FA" w14:textId="77777777" w:rsidR="002D3512" w:rsidRPr="00FC7AB0" w:rsidRDefault="00000000" w:rsidP="002D3512">
      <w:pPr>
        <w:numPr>
          <w:ilvl w:val="0"/>
          <w:numId w:val="1"/>
        </w:numPr>
        <w:ind w:right="82"/>
        <w:rPr>
          <w:sz w:val="22"/>
          <w:szCs w:val="22"/>
        </w:rPr>
      </w:pPr>
      <w:r w:rsidRPr="00FC7AB0">
        <w:rPr>
          <w:sz w:val="22"/>
          <w:szCs w:val="22"/>
        </w:rPr>
        <w:t>Una vez nombrado el tribunal se podrá proceder a la defensa del TFM en la fecha, y hora que acuerden el director o directores del TFM con los miembros del tribunal, conforme a los plazos establecidos en el punto 1</w:t>
      </w:r>
      <w:r w:rsidR="002D0D9A" w:rsidRPr="00FC7AB0">
        <w:rPr>
          <w:sz w:val="22"/>
          <w:szCs w:val="22"/>
        </w:rPr>
        <w:t>5</w:t>
      </w:r>
      <w:r w:rsidRPr="00FC7AB0">
        <w:rPr>
          <w:sz w:val="22"/>
          <w:szCs w:val="22"/>
        </w:rPr>
        <w:t xml:space="preserve">. </w:t>
      </w:r>
    </w:p>
    <w:p w14:paraId="58E6C6AC" w14:textId="3C888B1E" w:rsidR="002D3512" w:rsidRPr="00FC7AB0" w:rsidRDefault="002D3512" w:rsidP="002D3512">
      <w:pPr>
        <w:numPr>
          <w:ilvl w:val="0"/>
          <w:numId w:val="1"/>
        </w:numPr>
        <w:ind w:right="82"/>
        <w:rPr>
          <w:sz w:val="22"/>
          <w:szCs w:val="22"/>
        </w:rPr>
      </w:pPr>
      <w:r w:rsidRPr="00FC7AB0">
        <w:rPr>
          <w:sz w:val="22"/>
          <w:szCs w:val="22"/>
        </w:rPr>
        <w:t xml:space="preserve">Cualquier cambio de título y/o director/a deberá ser solicitado por el director del TFM, a la Comisión de Calidad MUI, al menos 10 días antes del comienzo del periodo de defensa, según el modelo del Anexo VI. </w:t>
      </w:r>
    </w:p>
    <w:p w14:paraId="5FFF5928" w14:textId="4F011692" w:rsidR="006F3832" w:rsidRPr="00FC7AB0" w:rsidRDefault="00000000" w:rsidP="00637B45">
      <w:pPr>
        <w:numPr>
          <w:ilvl w:val="0"/>
          <w:numId w:val="1"/>
        </w:numPr>
        <w:ind w:right="82"/>
        <w:rPr>
          <w:sz w:val="22"/>
          <w:szCs w:val="22"/>
        </w:rPr>
      </w:pPr>
      <w:r w:rsidRPr="00FC7AB0">
        <w:rPr>
          <w:sz w:val="22"/>
          <w:szCs w:val="22"/>
        </w:rPr>
        <w:t xml:space="preserve">Las fechas de cada convocatoria se adaptarán a los periodos de defensa establecidos en el calendario académico de cada curso y serán publicados en la web de la Facultad de Ciencias. </w:t>
      </w:r>
    </w:p>
    <w:p w14:paraId="620C36BC" w14:textId="77777777" w:rsidR="006F3832" w:rsidRPr="00FC7AB0" w:rsidRDefault="00000000" w:rsidP="00637B45">
      <w:pPr>
        <w:numPr>
          <w:ilvl w:val="0"/>
          <w:numId w:val="1"/>
        </w:numPr>
        <w:ind w:right="82"/>
        <w:rPr>
          <w:sz w:val="22"/>
          <w:szCs w:val="22"/>
        </w:rPr>
      </w:pPr>
      <w:r w:rsidRPr="00FC7AB0">
        <w:rPr>
          <w:sz w:val="22"/>
          <w:szCs w:val="22"/>
        </w:rPr>
        <w:t xml:space="preserve">El TFM será defendido por el estudiante ante el correspondiente tribunal en sesión pública durante un tiempo comprendido entre 15 y 30 minutos; seguidamente el tribunal podrá debatir con el estudiante sobre el trabajo realizado durante un tiempo máximo de 30 minutos. </w:t>
      </w:r>
    </w:p>
    <w:p w14:paraId="396C7FCD" w14:textId="5D4DC8D3" w:rsidR="006F3832" w:rsidRPr="00FC7AB0" w:rsidRDefault="00000000" w:rsidP="00EF3139">
      <w:pPr>
        <w:numPr>
          <w:ilvl w:val="0"/>
          <w:numId w:val="1"/>
        </w:numPr>
        <w:spacing w:after="0" w:line="259" w:lineRule="auto"/>
        <w:ind w:left="1" w:right="0" w:firstLine="0"/>
        <w:rPr>
          <w:sz w:val="22"/>
          <w:szCs w:val="22"/>
        </w:rPr>
      </w:pPr>
      <w:r w:rsidRPr="00FC7AB0">
        <w:rPr>
          <w:sz w:val="22"/>
          <w:szCs w:val="22"/>
        </w:rPr>
        <w:t>Finalmente, el tribunal procederá a la calificación del TFM, de acuerdo con lo indicado en la memoria del plan de estudios del MUI en Ciencias. El tribunal rellenará una ficha, según el modelo del Anexo V</w:t>
      </w:r>
      <w:r w:rsidR="002D3512" w:rsidRPr="00FC7AB0">
        <w:rPr>
          <w:sz w:val="22"/>
          <w:szCs w:val="22"/>
        </w:rPr>
        <w:t>II</w:t>
      </w:r>
      <w:r w:rsidRPr="00FC7AB0">
        <w:rPr>
          <w:sz w:val="22"/>
          <w:szCs w:val="22"/>
        </w:rPr>
        <w:t xml:space="preserve"> de la presente convocatoria, que recogerá un resumen del TFM y su calificación (entre suspenso 0 y sobresaliente 10) y que será archivada junto al expediente del estudiante. En los casos en los que se haya otorgado la calificación de sobresaliente el tribunal podrá conceder la mención de matrícula de honor. Para la concesión de </w:t>
      </w:r>
      <w:proofErr w:type="gramStart"/>
      <w:r w:rsidRPr="00FC7AB0">
        <w:rPr>
          <w:sz w:val="22"/>
          <w:szCs w:val="22"/>
        </w:rPr>
        <w:t>las mismas</w:t>
      </w:r>
      <w:proofErr w:type="gramEnd"/>
      <w:r w:rsidRPr="00FC7AB0">
        <w:rPr>
          <w:sz w:val="22"/>
          <w:szCs w:val="22"/>
        </w:rPr>
        <w:t xml:space="preserve"> se procederá como se especifica en la Normativa de TFG/TFM de la Universidad de Extremadura.  </w:t>
      </w:r>
    </w:p>
    <w:sectPr w:rsidR="006F3832" w:rsidRPr="00FC7AB0">
      <w:headerReference w:type="default" r:id="rId7"/>
      <w:pgSz w:w="11906" w:h="16838"/>
      <w:pgMar w:top="751" w:right="1699" w:bottom="210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D1C7" w14:textId="77777777" w:rsidR="00E034F4" w:rsidRDefault="00E034F4" w:rsidP="00637B45">
      <w:pPr>
        <w:spacing w:after="0" w:line="240" w:lineRule="auto"/>
      </w:pPr>
      <w:r>
        <w:separator/>
      </w:r>
    </w:p>
  </w:endnote>
  <w:endnote w:type="continuationSeparator" w:id="0">
    <w:p w14:paraId="1C98FA5F" w14:textId="77777777" w:rsidR="00E034F4" w:rsidRDefault="00E034F4" w:rsidP="00637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C898" w14:textId="77777777" w:rsidR="00E034F4" w:rsidRDefault="00E034F4" w:rsidP="00637B45">
      <w:pPr>
        <w:spacing w:after="0" w:line="240" w:lineRule="auto"/>
      </w:pPr>
      <w:r>
        <w:separator/>
      </w:r>
    </w:p>
  </w:footnote>
  <w:footnote w:type="continuationSeparator" w:id="0">
    <w:p w14:paraId="30ACF57A" w14:textId="77777777" w:rsidR="00E034F4" w:rsidRDefault="00E034F4" w:rsidP="00637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79" w:type="dxa"/>
      <w:jc w:val="center"/>
      <w:tblInd w:w="0" w:type="dxa"/>
      <w:tblCellMar>
        <w:top w:w="91" w:type="dxa"/>
        <w:left w:w="106" w:type="dxa"/>
        <w:bottom w:w="45" w:type="dxa"/>
        <w:right w:w="89" w:type="dxa"/>
      </w:tblCellMar>
      <w:tblLook w:val="04A0" w:firstRow="1" w:lastRow="0" w:firstColumn="1" w:lastColumn="0" w:noHBand="0" w:noVBand="1"/>
    </w:tblPr>
    <w:tblGrid>
      <w:gridCol w:w="2643"/>
      <w:gridCol w:w="2253"/>
      <w:gridCol w:w="2177"/>
      <w:gridCol w:w="2406"/>
    </w:tblGrid>
    <w:tr w:rsidR="00637B45" w14:paraId="190AE7DB" w14:textId="77777777" w:rsidTr="00F918F3">
      <w:trPr>
        <w:trHeight w:val="857"/>
        <w:jc w:val="center"/>
      </w:trPr>
      <w:tc>
        <w:tcPr>
          <w:tcW w:w="2643" w:type="dxa"/>
          <w:vMerge w:val="restart"/>
          <w:tcBorders>
            <w:top w:val="double" w:sz="4" w:space="0" w:color="000000"/>
            <w:left w:val="double" w:sz="4" w:space="0" w:color="000000"/>
            <w:bottom w:val="double" w:sz="4" w:space="0" w:color="000000"/>
            <w:right w:val="single" w:sz="4" w:space="0" w:color="000000"/>
          </w:tcBorders>
          <w:vAlign w:val="center"/>
        </w:tcPr>
        <w:p w14:paraId="6893FC8D" w14:textId="77777777" w:rsidR="00637B45" w:rsidRDefault="00637B45" w:rsidP="00637B45">
          <w:pPr>
            <w:spacing w:after="0" w:line="259" w:lineRule="auto"/>
            <w:ind w:left="0" w:right="48" w:firstLine="0"/>
            <w:jc w:val="center"/>
          </w:pPr>
          <w:r>
            <w:rPr>
              <w:noProof/>
            </w:rPr>
            <w:drawing>
              <wp:inline distT="0" distB="0" distL="0" distR="0" wp14:anchorId="194714EF" wp14:editId="1C7F7792">
                <wp:extent cx="1524000" cy="474345"/>
                <wp:effectExtent l="0" t="0" r="0" b="0"/>
                <wp:docPr id="7" name="Picture 7" descr="Imagen que contiene 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Picture 7" descr="Imagen que contiene Icono&#10;&#10;Descripción generada automáticamente"/>
                        <pic:cNvPicPr/>
                      </pic:nvPicPr>
                      <pic:blipFill>
                        <a:blip r:embed="rId1"/>
                        <a:stretch>
                          <a:fillRect/>
                        </a:stretch>
                      </pic:blipFill>
                      <pic:spPr>
                        <a:xfrm>
                          <a:off x="0" y="0"/>
                          <a:ext cx="1524000" cy="474345"/>
                        </a:xfrm>
                        <a:prstGeom prst="rect">
                          <a:avLst/>
                        </a:prstGeom>
                      </pic:spPr>
                    </pic:pic>
                  </a:graphicData>
                </a:graphic>
              </wp:inline>
            </w:drawing>
          </w:r>
        </w:p>
      </w:tc>
      <w:tc>
        <w:tcPr>
          <w:tcW w:w="4430" w:type="dxa"/>
          <w:gridSpan w:val="2"/>
          <w:tcBorders>
            <w:top w:val="double" w:sz="4" w:space="0" w:color="000000"/>
            <w:left w:val="single" w:sz="4" w:space="0" w:color="000000"/>
            <w:bottom w:val="single" w:sz="4" w:space="0" w:color="000000"/>
            <w:right w:val="single" w:sz="4" w:space="0" w:color="000000"/>
          </w:tcBorders>
          <w:vAlign w:val="center"/>
        </w:tcPr>
        <w:p w14:paraId="104C9048" w14:textId="77777777" w:rsidR="00637B45" w:rsidRDefault="00637B45" w:rsidP="00637B45">
          <w:pPr>
            <w:spacing w:after="0" w:line="259" w:lineRule="auto"/>
            <w:ind w:left="29" w:right="0" w:firstLine="0"/>
            <w:jc w:val="center"/>
          </w:pPr>
          <w:r>
            <w:rPr>
              <w:b/>
              <w:sz w:val="22"/>
            </w:rPr>
            <w:t xml:space="preserve">PROCEDIMIENTO DE GESTIÓN DE LOS TRABAJOS FIN DE TITULACIÓN DE LA FACULTAD DE CIENCIAS DE LA </w:t>
          </w:r>
          <w:proofErr w:type="spellStart"/>
          <w:r>
            <w:rPr>
              <w:b/>
              <w:sz w:val="22"/>
            </w:rPr>
            <w:t>UEx</w:t>
          </w:r>
          <w:proofErr w:type="spellEnd"/>
        </w:p>
      </w:tc>
      <w:tc>
        <w:tcPr>
          <w:tcW w:w="2406" w:type="dxa"/>
          <w:vMerge w:val="restart"/>
          <w:tcBorders>
            <w:top w:val="double" w:sz="4" w:space="0" w:color="000000"/>
            <w:left w:val="single" w:sz="4" w:space="0" w:color="000000"/>
            <w:bottom w:val="double" w:sz="4" w:space="0" w:color="000000"/>
            <w:right w:val="double" w:sz="4" w:space="0" w:color="000000"/>
          </w:tcBorders>
          <w:vAlign w:val="center"/>
        </w:tcPr>
        <w:p w14:paraId="6447D293" w14:textId="77777777" w:rsidR="00637B45" w:rsidRDefault="00637B45" w:rsidP="00637B45">
          <w:pPr>
            <w:spacing w:after="0" w:line="259" w:lineRule="auto"/>
            <w:ind w:left="1" w:right="0" w:firstLine="0"/>
            <w:jc w:val="center"/>
          </w:pPr>
          <w:r>
            <w:rPr>
              <w:noProof/>
            </w:rPr>
            <w:drawing>
              <wp:inline distT="0" distB="0" distL="0" distR="0" wp14:anchorId="6F0B1652" wp14:editId="7CBA91FC">
                <wp:extent cx="940439" cy="841359"/>
                <wp:effectExtent l="0" t="0" r="0" b="0"/>
                <wp:docPr id="15" name="Picture 15"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5" name="Picture 15" descr="Logotipo&#10;&#10;Descripción generada automáticamente"/>
                        <pic:cNvPicPr/>
                      </pic:nvPicPr>
                      <pic:blipFill>
                        <a:blip r:embed="rId2"/>
                        <a:stretch>
                          <a:fillRect/>
                        </a:stretch>
                      </pic:blipFill>
                      <pic:spPr>
                        <a:xfrm flipV="1">
                          <a:off x="0" y="0"/>
                          <a:ext cx="940439" cy="841359"/>
                        </a:xfrm>
                        <a:prstGeom prst="rect">
                          <a:avLst/>
                        </a:prstGeom>
                      </pic:spPr>
                    </pic:pic>
                  </a:graphicData>
                </a:graphic>
              </wp:inline>
            </w:drawing>
          </w:r>
        </w:p>
        <w:p w14:paraId="326648FD" w14:textId="77777777" w:rsidR="00637B45" w:rsidRDefault="00637B45" w:rsidP="00637B45">
          <w:pPr>
            <w:spacing w:after="0" w:line="259" w:lineRule="auto"/>
            <w:ind w:left="0" w:right="0" w:firstLine="0"/>
            <w:jc w:val="center"/>
          </w:pPr>
          <w:r>
            <w:rPr>
              <w:b/>
              <w:sz w:val="20"/>
            </w:rPr>
            <w:t>Facultad de Ciencias</w:t>
          </w:r>
        </w:p>
      </w:tc>
    </w:tr>
    <w:tr w:rsidR="00637B45" w14:paraId="15AFEDEB" w14:textId="77777777" w:rsidTr="00F918F3">
      <w:trPr>
        <w:trHeight w:val="1152"/>
        <w:jc w:val="center"/>
      </w:trPr>
      <w:tc>
        <w:tcPr>
          <w:tcW w:w="2643" w:type="dxa"/>
          <w:vMerge/>
          <w:tcBorders>
            <w:top w:val="nil"/>
            <w:left w:val="double" w:sz="4" w:space="0" w:color="000000"/>
            <w:bottom w:val="double" w:sz="4" w:space="0" w:color="000000"/>
            <w:right w:val="single" w:sz="4" w:space="0" w:color="000000"/>
          </w:tcBorders>
          <w:vAlign w:val="center"/>
        </w:tcPr>
        <w:p w14:paraId="526D7D25" w14:textId="77777777" w:rsidR="00637B45" w:rsidRDefault="00637B45" w:rsidP="00637B45">
          <w:pPr>
            <w:spacing w:after="160" w:line="259" w:lineRule="auto"/>
            <w:ind w:left="0" w:right="0" w:firstLine="0"/>
            <w:jc w:val="left"/>
          </w:pPr>
        </w:p>
      </w:tc>
      <w:tc>
        <w:tcPr>
          <w:tcW w:w="2253" w:type="dxa"/>
          <w:tcBorders>
            <w:top w:val="single" w:sz="4" w:space="0" w:color="000000"/>
            <w:left w:val="single" w:sz="4" w:space="0" w:color="000000"/>
            <w:bottom w:val="double" w:sz="4" w:space="0" w:color="000000"/>
            <w:right w:val="single" w:sz="4" w:space="0" w:color="000000"/>
          </w:tcBorders>
          <w:vAlign w:val="center"/>
        </w:tcPr>
        <w:p w14:paraId="4D66E44F" w14:textId="77777777" w:rsidR="00637B45" w:rsidRPr="00637B45" w:rsidRDefault="00637B45" w:rsidP="00637B45">
          <w:pPr>
            <w:spacing w:after="0" w:line="240" w:lineRule="auto"/>
            <w:ind w:left="0" w:right="0" w:firstLine="0"/>
            <w:jc w:val="center"/>
            <w:rPr>
              <w:sz w:val="20"/>
              <w:szCs w:val="22"/>
            </w:rPr>
          </w:pPr>
          <w:r w:rsidRPr="00637B45">
            <w:rPr>
              <w:b/>
              <w:sz w:val="20"/>
              <w:szCs w:val="22"/>
            </w:rPr>
            <w:t xml:space="preserve">Asunto: </w:t>
          </w:r>
          <w:r w:rsidRPr="00637B45">
            <w:rPr>
              <w:sz w:val="20"/>
              <w:szCs w:val="22"/>
            </w:rPr>
            <w:t xml:space="preserve">Calendario de actuaciones </w:t>
          </w:r>
          <w:proofErr w:type="gramStart"/>
          <w:r w:rsidRPr="00637B45">
            <w:rPr>
              <w:sz w:val="20"/>
              <w:szCs w:val="22"/>
            </w:rPr>
            <w:t>en relación a</w:t>
          </w:r>
          <w:proofErr w:type="gramEnd"/>
          <w:r w:rsidRPr="00637B45">
            <w:rPr>
              <w:sz w:val="20"/>
              <w:szCs w:val="22"/>
            </w:rPr>
            <w:t xml:space="preserve"> los TFM</w:t>
          </w:r>
        </w:p>
        <w:p w14:paraId="7F518BCE" w14:textId="603A3971" w:rsidR="00637B45" w:rsidRPr="00637B45" w:rsidRDefault="00637B45" w:rsidP="00637B45">
          <w:pPr>
            <w:spacing w:after="0" w:line="259" w:lineRule="auto"/>
            <w:ind w:left="0" w:right="16" w:firstLine="0"/>
            <w:jc w:val="center"/>
            <w:rPr>
              <w:sz w:val="20"/>
              <w:szCs w:val="22"/>
            </w:rPr>
          </w:pPr>
          <w:r w:rsidRPr="00637B45">
            <w:rPr>
              <w:sz w:val="20"/>
              <w:szCs w:val="22"/>
            </w:rPr>
            <w:t>MUI. Curso 2</w:t>
          </w:r>
          <w:r w:rsidR="002D0D9A">
            <w:rPr>
              <w:sz w:val="20"/>
              <w:szCs w:val="22"/>
            </w:rPr>
            <w:t>5</w:t>
          </w:r>
          <w:r w:rsidRPr="00637B45">
            <w:rPr>
              <w:sz w:val="20"/>
              <w:szCs w:val="22"/>
            </w:rPr>
            <w:t>/2</w:t>
          </w:r>
          <w:r w:rsidR="002D0D9A">
            <w:rPr>
              <w:sz w:val="20"/>
              <w:szCs w:val="22"/>
            </w:rPr>
            <w:t>6</w:t>
          </w:r>
          <w:r w:rsidRPr="00637B45">
            <w:rPr>
              <w:b/>
              <w:sz w:val="20"/>
              <w:szCs w:val="22"/>
            </w:rPr>
            <w:t xml:space="preserve"> </w:t>
          </w:r>
        </w:p>
      </w:tc>
      <w:tc>
        <w:tcPr>
          <w:tcW w:w="2177" w:type="dxa"/>
          <w:tcBorders>
            <w:top w:val="single" w:sz="4" w:space="0" w:color="000000"/>
            <w:left w:val="single" w:sz="4" w:space="0" w:color="000000"/>
            <w:bottom w:val="double" w:sz="4" w:space="0" w:color="000000"/>
            <w:right w:val="single" w:sz="4" w:space="0" w:color="000000"/>
          </w:tcBorders>
          <w:vAlign w:val="center"/>
        </w:tcPr>
        <w:p w14:paraId="766D4742" w14:textId="1C1EB1EF" w:rsidR="00637B45" w:rsidRPr="00637B45" w:rsidRDefault="00637B45" w:rsidP="00637B45">
          <w:pPr>
            <w:spacing w:after="0" w:line="259" w:lineRule="auto"/>
            <w:ind w:left="0" w:right="16" w:firstLine="0"/>
            <w:jc w:val="center"/>
            <w:rPr>
              <w:sz w:val="20"/>
              <w:szCs w:val="22"/>
            </w:rPr>
          </w:pPr>
          <w:r w:rsidRPr="00637B45">
            <w:rPr>
              <w:b/>
              <w:sz w:val="20"/>
              <w:szCs w:val="22"/>
            </w:rPr>
            <w:t xml:space="preserve">CÓDIGO: </w:t>
          </w:r>
          <w:r w:rsidRPr="00637B45">
            <w:rPr>
              <w:sz w:val="20"/>
              <w:szCs w:val="22"/>
            </w:rPr>
            <w:t>PR/CL002_D002_ MUI.2</w:t>
          </w:r>
          <w:r w:rsidR="002D0D9A">
            <w:rPr>
              <w:sz w:val="20"/>
              <w:szCs w:val="22"/>
            </w:rPr>
            <w:t>5</w:t>
          </w:r>
          <w:r w:rsidRPr="00637B45">
            <w:rPr>
              <w:sz w:val="20"/>
              <w:szCs w:val="22"/>
            </w:rPr>
            <w:t>/2</w:t>
          </w:r>
          <w:r w:rsidR="002D0D9A">
            <w:rPr>
              <w:sz w:val="20"/>
              <w:szCs w:val="22"/>
            </w:rPr>
            <w:t>6</w:t>
          </w:r>
        </w:p>
        <w:p w14:paraId="59539EB2" w14:textId="77777777" w:rsidR="00637B45" w:rsidRPr="00637B45" w:rsidRDefault="00637B45" w:rsidP="00637B45">
          <w:pPr>
            <w:spacing w:after="0" w:line="259" w:lineRule="auto"/>
            <w:ind w:left="31" w:right="0" w:firstLine="0"/>
            <w:jc w:val="center"/>
            <w:rPr>
              <w:sz w:val="20"/>
              <w:szCs w:val="22"/>
            </w:rPr>
          </w:pPr>
          <w:r w:rsidRPr="00637B45">
            <w:rPr>
              <w:b/>
              <w:i/>
              <w:color w:val="FF0000"/>
              <w:sz w:val="20"/>
              <w:szCs w:val="22"/>
            </w:rPr>
            <w:t xml:space="preserve"> </w:t>
          </w:r>
        </w:p>
      </w:tc>
      <w:tc>
        <w:tcPr>
          <w:tcW w:w="2406" w:type="dxa"/>
          <w:vMerge/>
          <w:tcBorders>
            <w:top w:val="nil"/>
            <w:left w:val="single" w:sz="4" w:space="0" w:color="000000"/>
            <w:bottom w:val="double" w:sz="4" w:space="0" w:color="000000"/>
            <w:right w:val="double" w:sz="4" w:space="0" w:color="000000"/>
          </w:tcBorders>
          <w:vAlign w:val="center"/>
        </w:tcPr>
        <w:p w14:paraId="77FBE5E8" w14:textId="77777777" w:rsidR="00637B45" w:rsidRDefault="00637B45" w:rsidP="00637B45">
          <w:pPr>
            <w:spacing w:after="160" w:line="259" w:lineRule="auto"/>
            <w:ind w:left="0" w:right="0" w:firstLine="0"/>
            <w:jc w:val="left"/>
          </w:pPr>
        </w:p>
      </w:tc>
    </w:tr>
  </w:tbl>
  <w:p w14:paraId="1FB45E36" w14:textId="77777777" w:rsidR="00637B45" w:rsidRDefault="00637B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CB9"/>
    <w:multiLevelType w:val="hybridMultilevel"/>
    <w:tmpl w:val="1DF83D12"/>
    <w:lvl w:ilvl="0" w:tplc="6F826B2A">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7448CB4">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0AD0A4">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9CA1226">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94071A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EFE1F3A">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4B87D46">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9907222">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C0721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12178E9"/>
    <w:multiLevelType w:val="hybridMultilevel"/>
    <w:tmpl w:val="89225296"/>
    <w:lvl w:ilvl="0" w:tplc="C29C6EB8">
      <w:start w:val="3"/>
      <w:numFmt w:val="decimal"/>
      <w:lvlText w:val="%1."/>
      <w:lvlJc w:val="left"/>
      <w:pPr>
        <w:ind w:left="3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3F6617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02E747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EA4A7A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EAA0AD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58E936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31AC10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84019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0A889A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4305C1F"/>
    <w:multiLevelType w:val="hybridMultilevel"/>
    <w:tmpl w:val="99108AB6"/>
    <w:lvl w:ilvl="0" w:tplc="F154BBA8">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AC523A">
      <w:start w:val="1"/>
      <w:numFmt w:val="bullet"/>
      <w:lvlText w:val="o"/>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FE85446">
      <w:start w:val="1"/>
      <w:numFmt w:val="bullet"/>
      <w:lvlText w:val="▪"/>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36A194">
      <w:start w:val="1"/>
      <w:numFmt w:val="bullet"/>
      <w:lvlText w:val="•"/>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E88926">
      <w:start w:val="1"/>
      <w:numFmt w:val="bullet"/>
      <w:lvlText w:val="o"/>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2A47436">
      <w:start w:val="1"/>
      <w:numFmt w:val="bullet"/>
      <w:lvlText w:val="▪"/>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C20C24A">
      <w:start w:val="1"/>
      <w:numFmt w:val="bullet"/>
      <w:lvlText w:val="•"/>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6A6818">
      <w:start w:val="1"/>
      <w:numFmt w:val="bullet"/>
      <w:lvlText w:val="o"/>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0228526">
      <w:start w:val="1"/>
      <w:numFmt w:val="bullet"/>
      <w:lvlText w:val="▪"/>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675254900">
    <w:abstractNumId w:val="0"/>
  </w:num>
  <w:num w:numId="2" w16cid:durableId="1340498866">
    <w:abstractNumId w:val="2"/>
  </w:num>
  <w:num w:numId="3" w16cid:durableId="13907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832"/>
    <w:rsid w:val="00022F66"/>
    <w:rsid w:val="002162EA"/>
    <w:rsid w:val="002A4D01"/>
    <w:rsid w:val="002D0D9A"/>
    <w:rsid w:val="002D3512"/>
    <w:rsid w:val="00323BE5"/>
    <w:rsid w:val="003577A7"/>
    <w:rsid w:val="00377FE8"/>
    <w:rsid w:val="00433B54"/>
    <w:rsid w:val="00484A49"/>
    <w:rsid w:val="005E1C0F"/>
    <w:rsid w:val="00637B45"/>
    <w:rsid w:val="006F3832"/>
    <w:rsid w:val="00756368"/>
    <w:rsid w:val="00800E24"/>
    <w:rsid w:val="00846721"/>
    <w:rsid w:val="00943EE3"/>
    <w:rsid w:val="009E375F"/>
    <w:rsid w:val="00AC3FCD"/>
    <w:rsid w:val="00C92E9E"/>
    <w:rsid w:val="00D01785"/>
    <w:rsid w:val="00D110F8"/>
    <w:rsid w:val="00E034F4"/>
    <w:rsid w:val="00EE1717"/>
    <w:rsid w:val="00EF3139"/>
    <w:rsid w:val="00F4763A"/>
    <w:rsid w:val="00FC7AB0"/>
    <w:rsid w:val="00FD36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7628D"/>
  <w15:docId w15:val="{A657046B-C2E1-4AE6-9B1C-B67953A8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 w:line="267" w:lineRule="auto"/>
      <w:ind w:left="11" w:right="96" w:hanging="10"/>
      <w:jc w:val="both"/>
    </w:pPr>
    <w:rPr>
      <w:rFonts w:ascii="Arial" w:eastAsia="Arial" w:hAnsi="Arial" w:cs="Arial"/>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323BE5"/>
    <w:pPr>
      <w:ind w:left="720"/>
      <w:contextualSpacing/>
    </w:pPr>
  </w:style>
  <w:style w:type="paragraph" w:styleId="Encabezado">
    <w:name w:val="header"/>
    <w:basedOn w:val="Normal"/>
    <w:link w:val="EncabezadoCar"/>
    <w:uiPriority w:val="99"/>
    <w:unhideWhenUsed/>
    <w:rsid w:val="00637B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7B45"/>
    <w:rPr>
      <w:rFonts w:ascii="Arial" w:eastAsia="Arial" w:hAnsi="Arial" w:cs="Arial"/>
      <w:color w:val="000000"/>
      <w:sz w:val="18"/>
    </w:rPr>
  </w:style>
  <w:style w:type="paragraph" w:styleId="Piedepgina">
    <w:name w:val="footer"/>
    <w:basedOn w:val="Normal"/>
    <w:link w:val="PiedepginaCar"/>
    <w:uiPriority w:val="99"/>
    <w:unhideWhenUsed/>
    <w:rsid w:val="00637B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7B45"/>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992</Words>
  <Characters>5461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PCOE_D001</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PCOE_D001</dc:title>
  <dc:subject>Acta CCT</dc:subject>
  <dc:creator>Pedro Álvarez</dc:creator>
  <cp:keywords/>
  <cp:lastModifiedBy>José Carlos Corchado Martín-Romo</cp:lastModifiedBy>
  <cp:revision>7</cp:revision>
  <dcterms:created xsi:type="dcterms:W3CDTF">2025-10-03T07:37:00Z</dcterms:created>
  <dcterms:modified xsi:type="dcterms:W3CDTF">2025-10-10T07:48:00Z</dcterms:modified>
</cp:coreProperties>
</file>